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1482" w:type="dxa"/>
        <w:tblInd w:w="-1134" w:type="dxa"/>
        <w:tblLook w:val="04A0" w:firstRow="1" w:lastRow="0" w:firstColumn="1" w:lastColumn="0" w:noHBand="0" w:noVBand="1"/>
      </w:tblPr>
      <w:tblGrid>
        <w:gridCol w:w="1860"/>
        <w:gridCol w:w="2109"/>
        <w:gridCol w:w="1985"/>
        <w:gridCol w:w="1843"/>
        <w:gridCol w:w="1701"/>
        <w:gridCol w:w="1984"/>
      </w:tblGrid>
      <w:tr w:rsidR="00174CE0" w:rsidRPr="004F7539" w14:paraId="17AC67ED" w14:textId="77777777" w:rsidTr="00174CE0">
        <w:trPr>
          <w:trHeight w:val="737"/>
        </w:trPr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7D71ACC" w14:textId="77777777" w:rsidR="00174CE0" w:rsidRPr="006927B9" w:rsidRDefault="00174CE0" w:rsidP="00131F22">
            <w:pPr>
              <w:rPr>
                <w:color w:val="FFFFFF"/>
                <w:sz w:val="16"/>
                <w:szCs w:val="16"/>
              </w:rPr>
            </w:pPr>
            <w:r w:rsidRPr="00AB3806">
              <w:t>Student Name: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22BDC39" w14:textId="16A29B96" w:rsidR="00174CE0" w:rsidRPr="00033039" w:rsidRDefault="00174CE0" w:rsidP="00174CE0">
            <w:pPr>
              <w:spacing w:before="0" w:after="0" w:line="240" w:lineRule="auto"/>
              <w:jc w:val="center"/>
              <w:rPr>
                <w:color w:val="FFFFFF" w:themeColor="background1"/>
                <w:sz w:val="44"/>
                <w:szCs w:val="44"/>
              </w:rPr>
            </w:pPr>
            <w:r w:rsidRPr="00033039">
              <w:rPr>
                <w:color w:val="FFFFFF" w:themeColor="background1"/>
                <w:sz w:val="44"/>
                <w:szCs w:val="44"/>
              </w:rPr>
              <w:t>Criteria: Assignment One</w:t>
            </w:r>
          </w:p>
        </w:tc>
      </w:tr>
      <w:tr w:rsidR="00174CE0" w:rsidRPr="004F7539" w14:paraId="5DDF148D" w14:textId="77777777" w:rsidTr="00131F22">
        <w:trPr>
          <w:trHeight w:val="227"/>
        </w:trPr>
        <w:tc>
          <w:tcPr>
            <w:tcW w:w="1148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C1BB442" w14:textId="77777777" w:rsidR="00174CE0" w:rsidRPr="00B54AF2" w:rsidRDefault="00174CE0" w:rsidP="00131F22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B54AF2">
              <w:rPr>
                <w:b/>
                <w:bCs/>
              </w:rPr>
              <w:t>Knowledge</w:t>
            </w:r>
          </w:p>
        </w:tc>
      </w:tr>
      <w:tr w:rsidR="00174CE0" w:rsidRPr="004F7539" w14:paraId="6456E329" w14:textId="77777777" w:rsidTr="00131F22">
        <w:tc>
          <w:tcPr>
            <w:tcW w:w="1860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224577D" w14:textId="77777777" w:rsidR="00174CE0" w:rsidRPr="006927B9" w:rsidRDefault="00174CE0" w:rsidP="00131F22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shd w:val="clear" w:color="auto" w:fill="000000"/>
          </w:tcPr>
          <w:p w14:paraId="573D3053" w14:textId="77777777" w:rsidR="00174CE0" w:rsidRPr="006927B9" w:rsidRDefault="00174CE0" w:rsidP="00131F22">
            <w:pPr>
              <w:jc w:val="center"/>
              <w:rPr>
                <w:color w:val="FFFFFF"/>
                <w:sz w:val="16"/>
                <w:szCs w:val="16"/>
                <w:highlight w:val="yellow"/>
              </w:rPr>
            </w:pPr>
            <w:r w:rsidRPr="006927B9">
              <w:rPr>
                <w:color w:val="FFFFFF"/>
                <w:sz w:val="16"/>
                <w:szCs w:val="16"/>
              </w:rPr>
              <w:t>Well Above Standard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6173B8CA" w14:textId="77777777" w:rsidR="00174CE0" w:rsidRPr="006927B9" w:rsidRDefault="00174CE0" w:rsidP="00131F22">
            <w:pPr>
              <w:jc w:val="center"/>
              <w:rPr>
                <w:color w:val="FFFFFF"/>
                <w:sz w:val="16"/>
                <w:szCs w:val="16"/>
              </w:rPr>
            </w:pPr>
            <w:r w:rsidRPr="006927B9">
              <w:rPr>
                <w:color w:val="FFFFFF"/>
                <w:sz w:val="16"/>
                <w:szCs w:val="16"/>
              </w:rPr>
              <w:t>Above Standard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/>
          </w:tcPr>
          <w:p w14:paraId="2F851904" w14:textId="77777777" w:rsidR="00174CE0" w:rsidRPr="006927B9" w:rsidRDefault="00174CE0" w:rsidP="00131F22">
            <w:pPr>
              <w:jc w:val="center"/>
              <w:rPr>
                <w:color w:val="FFFFFF"/>
                <w:sz w:val="16"/>
                <w:szCs w:val="16"/>
              </w:rPr>
            </w:pPr>
            <w:r w:rsidRPr="006927B9">
              <w:rPr>
                <w:color w:val="FFFFFF"/>
                <w:sz w:val="16"/>
                <w:szCs w:val="16"/>
              </w:rPr>
              <w:t>At Standard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201D7D0E" w14:textId="77777777" w:rsidR="00174CE0" w:rsidRPr="006927B9" w:rsidRDefault="00174CE0" w:rsidP="00131F22">
            <w:pPr>
              <w:jc w:val="center"/>
              <w:rPr>
                <w:color w:val="FFFFFF"/>
                <w:sz w:val="16"/>
                <w:szCs w:val="16"/>
              </w:rPr>
            </w:pPr>
            <w:r w:rsidRPr="006927B9">
              <w:rPr>
                <w:color w:val="FFFFFF"/>
                <w:sz w:val="16"/>
                <w:szCs w:val="16"/>
              </w:rPr>
              <w:t>Below Standard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000000"/>
          </w:tcPr>
          <w:p w14:paraId="26534A52" w14:textId="77777777" w:rsidR="00174CE0" w:rsidRPr="006927B9" w:rsidRDefault="00174CE0" w:rsidP="00131F22">
            <w:pPr>
              <w:jc w:val="center"/>
              <w:rPr>
                <w:color w:val="FFFFFF"/>
                <w:sz w:val="16"/>
                <w:szCs w:val="16"/>
                <w:highlight w:val="yellow"/>
              </w:rPr>
            </w:pPr>
            <w:r w:rsidRPr="006927B9">
              <w:rPr>
                <w:color w:val="FFFFFF"/>
                <w:sz w:val="16"/>
                <w:szCs w:val="16"/>
              </w:rPr>
              <w:t>Well Below Standard</w:t>
            </w:r>
          </w:p>
        </w:tc>
      </w:tr>
      <w:tr w:rsidR="00174CE0" w:rsidRPr="004F7539" w14:paraId="2FC6715B" w14:textId="77777777" w:rsidTr="00131F22">
        <w:tc>
          <w:tcPr>
            <w:tcW w:w="186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557EA6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Outlines a clear position</w:t>
            </w:r>
            <w:r w:rsidRPr="006927B9">
              <w:rPr>
                <w:b/>
                <w:bCs/>
                <w:sz w:val="16"/>
                <w:szCs w:val="16"/>
              </w:rPr>
              <w:t>/hypothesis</w:t>
            </w:r>
            <w:r w:rsidRPr="006927B9">
              <w:rPr>
                <w:b/>
                <w:sz w:val="16"/>
                <w:szCs w:val="16"/>
              </w:rPr>
              <w:t xml:space="preserve"> to analyse and evaluate, providing signposts to guide the argument </w:t>
            </w:r>
          </w:p>
        </w:tc>
        <w:tc>
          <w:tcPr>
            <w:tcW w:w="2109" w:type="dxa"/>
            <w:tcBorders>
              <w:bottom w:val="nil"/>
            </w:tcBorders>
          </w:tcPr>
          <w:p w14:paraId="0EE88F95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Comprehensively </w:t>
            </w:r>
            <w:r w:rsidRPr="00992E1F">
              <w:rPr>
                <w:sz w:val="16"/>
                <w:szCs w:val="16"/>
              </w:rPr>
              <w:t>outlines a position on the statement for the purpose of analysis, providing</w:t>
            </w:r>
            <w:r w:rsidRPr="00992E1F">
              <w:rPr>
                <w:color w:val="0E2841" w:themeColor="text2"/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>relevant</w:t>
            </w:r>
            <w:r w:rsidRPr="00992E1F">
              <w:rPr>
                <w:color w:val="0E2841" w:themeColor="text2"/>
                <w:sz w:val="16"/>
                <w:szCs w:val="16"/>
              </w:rPr>
              <w:t xml:space="preserve"> </w:t>
            </w:r>
            <w:r w:rsidRPr="00992E1F">
              <w:rPr>
                <w:sz w:val="16"/>
                <w:szCs w:val="16"/>
              </w:rPr>
              <w:t>and</w:t>
            </w:r>
            <w:r w:rsidRPr="00992E1F">
              <w:rPr>
                <w:color w:val="0E2841" w:themeColor="text2"/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 xml:space="preserve">informed </w:t>
            </w:r>
            <w:r w:rsidRPr="00992E1F">
              <w:rPr>
                <w:sz w:val="16"/>
                <w:szCs w:val="16"/>
              </w:rPr>
              <w:t xml:space="preserve">signposting to guide the argument </w:t>
            </w:r>
          </w:p>
        </w:tc>
        <w:tc>
          <w:tcPr>
            <w:tcW w:w="1985" w:type="dxa"/>
            <w:tcBorders>
              <w:bottom w:val="nil"/>
            </w:tcBorders>
          </w:tcPr>
          <w:p w14:paraId="0AD9028D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Clearly </w:t>
            </w:r>
            <w:r w:rsidRPr="00992E1F">
              <w:rPr>
                <w:sz w:val="16"/>
                <w:szCs w:val="16"/>
              </w:rPr>
              <w:t xml:space="preserve">outlines a position on the statement for the purpose of analysis, providing </w:t>
            </w:r>
            <w:r w:rsidRPr="00992E1F">
              <w:rPr>
                <w:color w:val="FF0000"/>
                <w:sz w:val="16"/>
                <w:szCs w:val="16"/>
              </w:rPr>
              <w:t xml:space="preserve">informed </w:t>
            </w:r>
            <w:r w:rsidRPr="00992E1F">
              <w:rPr>
                <w:sz w:val="16"/>
                <w:szCs w:val="16"/>
              </w:rPr>
              <w:t xml:space="preserve">signposting to guide the argument </w:t>
            </w:r>
          </w:p>
        </w:tc>
        <w:tc>
          <w:tcPr>
            <w:tcW w:w="1843" w:type="dxa"/>
            <w:tcBorders>
              <w:bottom w:val="nil"/>
            </w:tcBorders>
          </w:tcPr>
          <w:p w14:paraId="42439046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Appropriately</w:t>
            </w:r>
            <w:r w:rsidRPr="00992E1F">
              <w:rPr>
                <w:sz w:val="16"/>
                <w:szCs w:val="16"/>
              </w:rPr>
              <w:t xml:space="preserve"> outlines a position on the statement for the purpose of analysis, </w:t>
            </w:r>
            <w:r w:rsidRPr="00992E1F">
              <w:rPr>
                <w:color w:val="FF0000"/>
                <w:sz w:val="16"/>
                <w:szCs w:val="16"/>
              </w:rPr>
              <w:t xml:space="preserve">with some </w:t>
            </w:r>
            <w:r w:rsidRPr="00992E1F">
              <w:rPr>
                <w:sz w:val="16"/>
                <w:szCs w:val="16"/>
              </w:rPr>
              <w:t xml:space="preserve">signposting to guide the argument </w:t>
            </w:r>
          </w:p>
        </w:tc>
        <w:tc>
          <w:tcPr>
            <w:tcW w:w="1701" w:type="dxa"/>
            <w:tcBorders>
              <w:bottom w:val="nil"/>
            </w:tcBorders>
          </w:tcPr>
          <w:p w14:paraId="350297F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sz w:val="16"/>
                <w:szCs w:val="16"/>
              </w:rPr>
              <w:t xml:space="preserve">Presents </w:t>
            </w:r>
            <w:r w:rsidRPr="00992E1F">
              <w:rPr>
                <w:color w:val="FF0000"/>
                <w:sz w:val="16"/>
                <w:szCs w:val="16"/>
              </w:rPr>
              <w:t xml:space="preserve">a partial position </w:t>
            </w:r>
            <w:r w:rsidRPr="00992E1F">
              <w:rPr>
                <w:sz w:val="16"/>
                <w:szCs w:val="16"/>
              </w:rPr>
              <w:t xml:space="preserve">on the statement for the purpose of analysis, but </w:t>
            </w:r>
            <w:r w:rsidRPr="00992E1F">
              <w:rPr>
                <w:color w:val="FF0000"/>
                <w:sz w:val="16"/>
                <w:szCs w:val="16"/>
              </w:rPr>
              <w:t>lacks clarity</w:t>
            </w:r>
            <w:r w:rsidRPr="00992E1F">
              <w:rPr>
                <w:sz w:val="16"/>
                <w:szCs w:val="16"/>
              </w:rPr>
              <w:t xml:space="preserve"> in the signposting to guide the argument </w:t>
            </w:r>
          </w:p>
        </w:tc>
        <w:tc>
          <w:tcPr>
            <w:tcW w:w="1984" w:type="dxa"/>
            <w:tcBorders>
              <w:bottom w:val="nil"/>
            </w:tcBorders>
          </w:tcPr>
          <w:p w14:paraId="3F8D6E1F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sz w:val="16"/>
                <w:szCs w:val="16"/>
              </w:rPr>
              <w:t xml:space="preserve">Presents a </w:t>
            </w:r>
            <w:r w:rsidRPr="00992E1F">
              <w:rPr>
                <w:color w:val="FF0000"/>
                <w:sz w:val="16"/>
                <w:szCs w:val="16"/>
              </w:rPr>
              <w:t xml:space="preserve">fragmented </w:t>
            </w:r>
            <w:r w:rsidRPr="00992E1F">
              <w:rPr>
                <w:sz w:val="16"/>
                <w:szCs w:val="16"/>
              </w:rPr>
              <w:t xml:space="preserve">position on the statement for the purpose of analysis, and </w:t>
            </w:r>
            <w:r w:rsidRPr="00992E1F">
              <w:rPr>
                <w:color w:val="FF0000"/>
                <w:sz w:val="16"/>
                <w:szCs w:val="16"/>
              </w:rPr>
              <w:t xml:space="preserve">lacks </w:t>
            </w:r>
            <w:r w:rsidRPr="00992E1F">
              <w:rPr>
                <w:sz w:val="16"/>
                <w:szCs w:val="16"/>
              </w:rPr>
              <w:t xml:space="preserve">signposting to guide the argument </w:t>
            </w:r>
          </w:p>
        </w:tc>
      </w:tr>
      <w:tr w:rsidR="00174CE0" w:rsidRPr="004F7539" w14:paraId="33C001C1" w14:textId="77777777" w:rsidTr="00131F22">
        <w:tc>
          <w:tcPr>
            <w:tcW w:w="11482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AF77E95" w14:textId="77777777" w:rsidR="00174CE0" w:rsidRPr="00BE6882" w:rsidRDefault="00174CE0" w:rsidP="00131F22">
            <w:pPr>
              <w:spacing w:after="200"/>
              <w:jc w:val="both"/>
              <w:rPr>
                <w:rFonts w:eastAsia="Cambria"/>
                <w:b/>
                <w:bCs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1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594005113"/>
                <w:placeholder>
                  <w:docPart w:val="8D94FE522C434DF7A01B0A94AF8706E0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7751C2C1" w14:textId="77777777" w:rsidTr="00131F22">
        <w:tc>
          <w:tcPr>
            <w:tcW w:w="186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8102B0B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Demonstrates understanding of the Vision and purpose of Religious Education, with consideration of the learners’ contemporary contexts</w:t>
            </w:r>
          </w:p>
        </w:tc>
        <w:tc>
          <w:tcPr>
            <w:tcW w:w="2109" w:type="dxa"/>
            <w:tcBorders>
              <w:bottom w:val="nil"/>
            </w:tcBorders>
          </w:tcPr>
          <w:p w14:paraId="4F502E58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>Demonstrates a discerning and relevant</w:t>
            </w:r>
            <w:r w:rsidRPr="00992E1F">
              <w:rPr>
                <w:sz w:val="16"/>
                <w:szCs w:val="16"/>
              </w:rPr>
              <w:t xml:space="preserve"> understanding of the Vision, purpose and contemporary contexts of learners of Religious Education (Archdiocese of Brisbane) when teaching the Catholic Christian tradition</w:t>
            </w:r>
          </w:p>
        </w:tc>
        <w:tc>
          <w:tcPr>
            <w:tcW w:w="1985" w:type="dxa"/>
            <w:tcBorders>
              <w:bottom w:val="nil"/>
            </w:tcBorders>
          </w:tcPr>
          <w:p w14:paraId="520ECEA5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Demonstrates an informed </w:t>
            </w:r>
            <w:r w:rsidRPr="00992E1F">
              <w:rPr>
                <w:sz w:val="16"/>
                <w:szCs w:val="16"/>
              </w:rPr>
              <w:t>understanding of the Vision, purpose and contemporary contexts of learners of Religious Education (Archdiocese of Brisbane) when teaching the Catholic Christian tradition</w:t>
            </w:r>
          </w:p>
        </w:tc>
        <w:tc>
          <w:tcPr>
            <w:tcW w:w="1843" w:type="dxa"/>
            <w:tcBorders>
              <w:bottom w:val="nil"/>
            </w:tcBorders>
          </w:tcPr>
          <w:p w14:paraId="1D1A6044" w14:textId="77777777" w:rsidR="00174CE0" w:rsidRPr="00992E1F" w:rsidRDefault="00174CE0" w:rsidP="00131F22">
            <w:pPr>
              <w:spacing w:before="80" w:after="80"/>
              <w:rPr>
                <w:color w:val="FF0000"/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Demonstrates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 xml:space="preserve">an </w:t>
            </w:r>
            <w:r w:rsidRPr="00992E1F">
              <w:rPr>
                <w:sz w:val="16"/>
                <w:szCs w:val="16"/>
              </w:rPr>
              <w:t>understanding of the Vision, purpose and contemporary contexts of learners of Religious Education (Archdiocese of Brisbane) when teaching the Catholic Christian tradition</w:t>
            </w:r>
          </w:p>
        </w:tc>
        <w:tc>
          <w:tcPr>
            <w:tcW w:w="1701" w:type="dxa"/>
            <w:tcBorders>
              <w:bottom w:val="nil"/>
            </w:tcBorders>
          </w:tcPr>
          <w:p w14:paraId="17EBDFC1" w14:textId="77777777" w:rsidR="00174CE0" w:rsidRPr="00992E1F" w:rsidRDefault="00174CE0" w:rsidP="00131F22">
            <w:pPr>
              <w:spacing w:before="80" w:after="80"/>
              <w:rPr>
                <w:color w:val="FF0000"/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Demonstrates partial </w:t>
            </w:r>
            <w:r w:rsidRPr="00992E1F">
              <w:rPr>
                <w:sz w:val="16"/>
                <w:szCs w:val="16"/>
              </w:rPr>
              <w:t>understanding of the Vision, purpose and contemporary contexts of learners of Religious Education (Archdiocese of Brisbane) when teaching the Catholic Christian tradition</w:t>
            </w:r>
          </w:p>
        </w:tc>
        <w:tc>
          <w:tcPr>
            <w:tcW w:w="1984" w:type="dxa"/>
            <w:tcBorders>
              <w:bottom w:val="nil"/>
            </w:tcBorders>
          </w:tcPr>
          <w:p w14:paraId="4EF3BACA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Demonstrates fragmented </w:t>
            </w:r>
            <w:r w:rsidRPr="00992E1F">
              <w:rPr>
                <w:sz w:val="16"/>
                <w:szCs w:val="16"/>
              </w:rPr>
              <w:t>understanding of the Vision, purpose and contemporary contexts of learners of Religious Education (Archdiocese of Brisbane) when teaching the Catholic Christian tradition</w:t>
            </w:r>
          </w:p>
        </w:tc>
      </w:tr>
      <w:tr w:rsidR="00174CE0" w:rsidRPr="004F7539" w14:paraId="77B3920A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16A94B1F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2 Result:  </w:t>
            </w:r>
            <w:sdt>
              <w:sdtPr>
                <w:rPr>
                  <w:rStyle w:val="Style1"/>
                </w:rPr>
                <w:id w:val="461153927"/>
                <w:placeholder>
                  <w:docPart w:val="2D13856EBFC642A784C45E3A26620F85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>
                <w:rPr>
                  <w:rStyle w:val="DefaultParagraphFont"/>
                  <w:rFonts w:eastAsia="Cambria"/>
                  <w:b/>
                  <w:bCs/>
                  <w:color w:val="0070C0"/>
                  <w:sz w:val="16"/>
                  <w:szCs w:val="16"/>
                </w:rPr>
              </w:sdtEndPr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12F8C9BB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3EF68929" w14:textId="77777777" w:rsidR="00174CE0" w:rsidRPr="00BE6882" w:rsidRDefault="00174CE0" w:rsidP="00131F22">
            <w:pPr>
              <w:spacing w:after="200"/>
              <w:jc w:val="center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04B6D64">
              <w:rPr>
                <w:rFonts w:eastAsia="Cambria"/>
                <w:b/>
                <w:bCs/>
              </w:rPr>
              <w:t>Higher Order Thinking</w:t>
            </w:r>
          </w:p>
        </w:tc>
      </w:tr>
      <w:tr w:rsidR="00174CE0" w:rsidRPr="004F7539" w14:paraId="55B7D1C5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6D5FCA9F" w14:textId="77777777" w:rsidR="00174CE0" w:rsidRPr="006927B9" w:rsidRDefault="00174CE0" w:rsidP="00131F22">
            <w:pPr>
              <w:spacing w:after="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Explains the importance of The Model of Religious Education with its Distinct and Complementary nature of the two dimensions of Religious Education, to fulfill the Vision.</w:t>
            </w:r>
          </w:p>
        </w:tc>
        <w:tc>
          <w:tcPr>
            <w:tcW w:w="2109" w:type="dxa"/>
          </w:tcPr>
          <w:p w14:paraId="0EED1EBD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Coherently and concisely explains, providing discerning evaluation of </w:t>
            </w:r>
            <w:r w:rsidRPr="00992E1F">
              <w:rPr>
                <w:sz w:val="16"/>
                <w:szCs w:val="16"/>
              </w:rPr>
              <w:t xml:space="preserve">the importance of the complementary nature of the two dimensions of The Model of Religious Education to fulfill the vision </w:t>
            </w:r>
          </w:p>
          <w:p w14:paraId="39C0FE92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  <w:highlight w:val="yellow"/>
              </w:rPr>
            </w:pPr>
          </w:p>
          <w:p w14:paraId="3BF2EC93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Coherently and effectively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>explains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 xml:space="preserve">the distinctiveness </w:t>
            </w:r>
            <w:r w:rsidRPr="00992E1F">
              <w:rPr>
                <w:sz w:val="16"/>
                <w:szCs w:val="16"/>
              </w:rPr>
              <w:t>of each dimension</w:t>
            </w:r>
          </w:p>
          <w:p w14:paraId="716A8C74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  <w:highlight w:val="yellow"/>
              </w:rPr>
            </w:pPr>
          </w:p>
          <w:p w14:paraId="1F9B422B" w14:textId="77777777" w:rsidR="00174CE0" w:rsidRPr="00992E1F" w:rsidRDefault="00174CE0" w:rsidP="00131F22">
            <w:pPr>
              <w:spacing w:after="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Provides discerning, relevant and concise example/s </w:t>
            </w:r>
            <w:r w:rsidRPr="00992E1F">
              <w:rPr>
                <w:sz w:val="16"/>
                <w:szCs w:val="16"/>
              </w:rPr>
              <w:t>from professional practice of distinct and complementary nature of the dimensions</w:t>
            </w:r>
          </w:p>
        </w:tc>
        <w:tc>
          <w:tcPr>
            <w:tcW w:w="1985" w:type="dxa"/>
          </w:tcPr>
          <w:p w14:paraId="22462132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Informed explanation and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 xml:space="preserve">evaluation of the </w:t>
            </w:r>
            <w:r w:rsidRPr="00992E1F">
              <w:rPr>
                <w:sz w:val="16"/>
                <w:szCs w:val="16"/>
              </w:rPr>
              <w:t xml:space="preserve">importance of the complementary nature of the two dimensions of The Model of Religious Education to fulfill the vision </w:t>
            </w:r>
          </w:p>
          <w:p w14:paraId="77745021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44330171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</w:rPr>
            </w:pPr>
          </w:p>
          <w:p w14:paraId="73CB24D7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Informed explanation of the distinctiveness</w:t>
            </w:r>
            <w:r w:rsidRPr="00992E1F">
              <w:rPr>
                <w:sz w:val="16"/>
                <w:szCs w:val="16"/>
              </w:rPr>
              <w:t xml:space="preserve"> of each dimension.</w:t>
            </w:r>
          </w:p>
          <w:p w14:paraId="53512F4F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6C90D66B" w14:textId="77777777" w:rsidR="00174CE0" w:rsidRPr="00156BAD" w:rsidRDefault="00174CE0" w:rsidP="00131F22">
            <w:pPr>
              <w:spacing w:after="0"/>
              <w:rPr>
                <w:sz w:val="6"/>
                <w:szCs w:val="6"/>
              </w:rPr>
            </w:pPr>
          </w:p>
          <w:p w14:paraId="0B7EB638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Provides detailed and accurate example/s </w:t>
            </w:r>
            <w:r w:rsidRPr="00992E1F">
              <w:rPr>
                <w:sz w:val="16"/>
                <w:szCs w:val="16"/>
              </w:rPr>
              <w:t>from professional practice of distinct and complementary nature of the dimensions</w:t>
            </w:r>
          </w:p>
        </w:tc>
        <w:tc>
          <w:tcPr>
            <w:tcW w:w="1843" w:type="dxa"/>
          </w:tcPr>
          <w:p w14:paraId="172132D3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Explains, with some evaluation</w:t>
            </w:r>
            <w:r w:rsidRPr="00992E1F">
              <w:rPr>
                <w:sz w:val="16"/>
                <w:szCs w:val="16"/>
              </w:rPr>
              <w:t>, the importance of the complementary nature of the two dimensions of The Model of Religious Education to fulfill the vision</w:t>
            </w:r>
          </w:p>
          <w:p w14:paraId="6FA79022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sz w:val="16"/>
                <w:szCs w:val="16"/>
              </w:rPr>
              <w:t xml:space="preserve"> </w:t>
            </w:r>
          </w:p>
          <w:p w14:paraId="0A514D22" w14:textId="77777777" w:rsidR="00174CE0" w:rsidRPr="00156BAD" w:rsidRDefault="00174CE0" w:rsidP="00131F22">
            <w:pPr>
              <w:spacing w:after="0"/>
              <w:rPr>
                <w:sz w:val="6"/>
                <w:szCs w:val="6"/>
              </w:rPr>
            </w:pPr>
          </w:p>
          <w:p w14:paraId="6C08D0AA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Explains the distinctiveness </w:t>
            </w:r>
            <w:r w:rsidRPr="00992E1F">
              <w:rPr>
                <w:sz w:val="16"/>
                <w:szCs w:val="16"/>
              </w:rPr>
              <w:t xml:space="preserve">of each dimension. </w:t>
            </w:r>
          </w:p>
          <w:p w14:paraId="2939F641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2FA8F60E" w14:textId="77777777" w:rsidR="00174CE0" w:rsidRPr="00156BAD" w:rsidRDefault="00174CE0" w:rsidP="00131F22">
            <w:pPr>
              <w:spacing w:after="0"/>
              <w:rPr>
                <w:sz w:val="6"/>
                <w:szCs w:val="6"/>
              </w:rPr>
            </w:pPr>
          </w:p>
          <w:p w14:paraId="7FF433C6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Provides adequate example/s </w:t>
            </w:r>
            <w:r w:rsidRPr="00992E1F">
              <w:rPr>
                <w:sz w:val="16"/>
                <w:szCs w:val="16"/>
              </w:rPr>
              <w:t>from professional practice of distinct and/or complementary nature of the dimensions</w:t>
            </w:r>
          </w:p>
        </w:tc>
        <w:tc>
          <w:tcPr>
            <w:tcW w:w="1701" w:type="dxa"/>
          </w:tcPr>
          <w:p w14:paraId="56733814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Describes</w:t>
            </w:r>
            <w:r w:rsidRPr="00992E1F">
              <w:rPr>
                <w:sz w:val="16"/>
                <w:szCs w:val="16"/>
              </w:rPr>
              <w:t xml:space="preserve"> the complementary nature of the two dimensions of The Model of Religious Education to fulfill the vision</w:t>
            </w:r>
          </w:p>
          <w:p w14:paraId="1D3B2891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018FF93A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0B58E28A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</w:rPr>
            </w:pPr>
          </w:p>
          <w:p w14:paraId="6BF79203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Describes </w:t>
            </w:r>
            <w:r w:rsidRPr="00992E1F">
              <w:rPr>
                <w:sz w:val="16"/>
                <w:szCs w:val="16"/>
              </w:rPr>
              <w:t xml:space="preserve">each dimension. </w:t>
            </w:r>
          </w:p>
          <w:p w14:paraId="13A9662E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</w:p>
          <w:p w14:paraId="64C1AFED" w14:textId="77777777" w:rsidR="00174CE0" w:rsidRDefault="00174CE0" w:rsidP="00131F22">
            <w:pPr>
              <w:spacing w:after="0"/>
              <w:rPr>
                <w:color w:val="FF0000"/>
                <w:sz w:val="16"/>
                <w:szCs w:val="16"/>
              </w:rPr>
            </w:pPr>
          </w:p>
          <w:p w14:paraId="7587004B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</w:rPr>
            </w:pPr>
          </w:p>
          <w:p w14:paraId="57233E59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Provides partial example/s with some aspects of relevance </w:t>
            </w:r>
            <w:r w:rsidRPr="00992E1F">
              <w:rPr>
                <w:sz w:val="16"/>
                <w:szCs w:val="16"/>
              </w:rPr>
              <w:t xml:space="preserve">from professional practice of distinct complementary nature of the </w:t>
            </w:r>
            <w:r w:rsidRPr="00992E1F">
              <w:rPr>
                <w:sz w:val="16"/>
                <w:szCs w:val="16"/>
              </w:rPr>
              <w:lastRenderedPageBreak/>
              <w:t xml:space="preserve">dimensions but lacks clarity </w:t>
            </w:r>
          </w:p>
        </w:tc>
        <w:tc>
          <w:tcPr>
            <w:tcW w:w="1984" w:type="dxa"/>
          </w:tcPr>
          <w:p w14:paraId="7E1BB4F8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lastRenderedPageBreak/>
              <w:t xml:space="preserve">Fragmented statements about </w:t>
            </w:r>
            <w:r w:rsidRPr="00992E1F">
              <w:rPr>
                <w:sz w:val="16"/>
                <w:szCs w:val="16"/>
              </w:rPr>
              <w:t>the complementary nature of the two dimensions of The Model of Religious Education to fulfill the vision</w:t>
            </w:r>
          </w:p>
          <w:p w14:paraId="07FA89BB" w14:textId="77777777" w:rsidR="00174CE0" w:rsidRPr="00992E1F" w:rsidRDefault="00174CE0" w:rsidP="00131F22">
            <w:pPr>
              <w:spacing w:after="0" w:line="276" w:lineRule="auto"/>
              <w:ind w:left="360"/>
              <w:contextualSpacing/>
              <w:rPr>
                <w:rFonts w:eastAsia="Times New Roman"/>
                <w:sz w:val="16"/>
                <w:szCs w:val="16"/>
                <w:highlight w:val="yellow"/>
              </w:rPr>
            </w:pPr>
          </w:p>
          <w:p w14:paraId="31827352" w14:textId="77777777" w:rsidR="00174CE0" w:rsidRPr="00992E1F" w:rsidRDefault="00174CE0" w:rsidP="00131F22">
            <w:pPr>
              <w:spacing w:after="0"/>
              <w:rPr>
                <w:color w:val="FF0000"/>
                <w:sz w:val="16"/>
                <w:szCs w:val="16"/>
                <w:highlight w:val="yellow"/>
              </w:rPr>
            </w:pPr>
          </w:p>
          <w:p w14:paraId="748EE6F4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  <w:highlight w:val="yellow"/>
              </w:rPr>
            </w:pPr>
          </w:p>
          <w:p w14:paraId="293F1A80" w14:textId="77777777" w:rsidR="00174CE0" w:rsidRPr="00992E1F" w:rsidRDefault="00174CE0" w:rsidP="00131F22">
            <w:pPr>
              <w:spacing w:after="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Identifies some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>aspects of the dimensions</w:t>
            </w:r>
            <w:r w:rsidRPr="00992E1F">
              <w:rPr>
                <w:sz w:val="16"/>
                <w:szCs w:val="16"/>
              </w:rPr>
              <w:t xml:space="preserve"> </w:t>
            </w:r>
          </w:p>
          <w:p w14:paraId="74E85DB7" w14:textId="77777777" w:rsidR="00174CE0" w:rsidRPr="00992E1F" w:rsidRDefault="00174CE0" w:rsidP="00131F22">
            <w:pPr>
              <w:spacing w:after="0"/>
              <w:rPr>
                <w:sz w:val="16"/>
                <w:szCs w:val="16"/>
                <w:highlight w:val="yellow"/>
              </w:rPr>
            </w:pPr>
          </w:p>
          <w:p w14:paraId="11601EAF" w14:textId="77777777" w:rsidR="00174CE0" w:rsidRPr="00992E1F" w:rsidRDefault="00174CE0" w:rsidP="00131F22">
            <w:pPr>
              <w:spacing w:after="0"/>
              <w:rPr>
                <w:color w:val="FF0000"/>
                <w:sz w:val="16"/>
                <w:szCs w:val="16"/>
                <w:highlight w:val="yellow"/>
              </w:rPr>
            </w:pPr>
          </w:p>
          <w:p w14:paraId="2F85D3F3" w14:textId="77777777" w:rsidR="00174CE0" w:rsidRPr="00156BAD" w:rsidRDefault="00174CE0" w:rsidP="00131F22">
            <w:pPr>
              <w:spacing w:after="0"/>
              <w:rPr>
                <w:color w:val="FF0000"/>
                <w:sz w:val="6"/>
                <w:szCs w:val="6"/>
              </w:rPr>
            </w:pPr>
          </w:p>
          <w:p w14:paraId="3C20E9D8" w14:textId="77777777" w:rsidR="00174CE0" w:rsidRPr="00992E1F" w:rsidRDefault="00174CE0" w:rsidP="00131F22">
            <w:pPr>
              <w:spacing w:after="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Statements about or fragmented evidence </w:t>
            </w:r>
            <w:r w:rsidRPr="00992E1F">
              <w:rPr>
                <w:sz w:val="16"/>
                <w:szCs w:val="16"/>
              </w:rPr>
              <w:t xml:space="preserve">from professional practice of distinct &amp; complementary nature of the dimensions but lacks clarity </w:t>
            </w:r>
            <w:r w:rsidRPr="00992E1F">
              <w:rPr>
                <w:color w:val="FF0000"/>
                <w:sz w:val="16"/>
                <w:szCs w:val="16"/>
              </w:rPr>
              <w:t>with minimal understanding</w:t>
            </w:r>
          </w:p>
        </w:tc>
      </w:tr>
      <w:tr w:rsidR="00174CE0" w:rsidRPr="004F7539" w14:paraId="3429EFBD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07F7454A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3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1483729120"/>
                <w:placeholder>
                  <w:docPart w:val="844AF6D271E842EA838C8C2ADB9D0CC1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36B84B0A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47DF06EB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Explains how the Reconceptualist Approach engages student dialogue for the development of post-critical belief and provides justification</w:t>
            </w:r>
          </w:p>
        </w:tc>
        <w:tc>
          <w:tcPr>
            <w:tcW w:w="2109" w:type="dxa"/>
          </w:tcPr>
          <w:p w14:paraId="5219365E" w14:textId="77777777" w:rsidR="00174CE0" w:rsidRPr="00E73867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With insight, discernment and fluency</w:t>
            </w:r>
            <w:r w:rsidRPr="00992E1F">
              <w:rPr>
                <w:sz w:val="16"/>
                <w:szCs w:val="16"/>
              </w:rPr>
              <w:t xml:space="preserve"> </w:t>
            </w:r>
            <w:r w:rsidRPr="00992E1F">
              <w:rPr>
                <w:color w:val="FF0000"/>
                <w:sz w:val="16"/>
                <w:szCs w:val="16"/>
              </w:rPr>
              <w:t xml:space="preserve">explains and provides informed justification </w:t>
            </w:r>
            <w:r w:rsidRPr="00992E1F">
              <w:rPr>
                <w:sz w:val="16"/>
                <w:szCs w:val="16"/>
              </w:rPr>
              <w:t>as to how the Reconceptualist Approach engages the plurality of voices, enabling dialogue for the development of post-critical belief</w:t>
            </w:r>
          </w:p>
        </w:tc>
        <w:tc>
          <w:tcPr>
            <w:tcW w:w="1985" w:type="dxa"/>
          </w:tcPr>
          <w:p w14:paraId="2C479B8D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Detailed explanation providing appropriate justification </w:t>
            </w:r>
            <w:r w:rsidRPr="00992E1F">
              <w:rPr>
                <w:sz w:val="16"/>
                <w:szCs w:val="16"/>
              </w:rPr>
              <w:t>as to how the Reconceptualist Approach engages the plurality of voices, enabling dialogue for the development of post-critical belief</w:t>
            </w:r>
          </w:p>
        </w:tc>
        <w:tc>
          <w:tcPr>
            <w:tcW w:w="1843" w:type="dxa"/>
          </w:tcPr>
          <w:p w14:paraId="52273D2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Explains</w:t>
            </w:r>
            <w:r w:rsidRPr="00992E1F">
              <w:rPr>
                <w:sz w:val="16"/>
                <w:szCs w:val="16"/>
              </w:rPr>
              <w:t xml:space="preserve"> how the Reconceptualist Approach engages the plurality of voices, enabling dialogue for the development of post-critical belief</w:t>
            </w:r>
          </w:p>
        </w:tc>
        <w:tc>
          <w:tcPr>
            <w:tcW w:w="1701" w:type="dxa"/>
          </w:tcPr>
          <w:p w14:paraId="4662AFBA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Partial explanation identifying some aspects of </w:t>
            </w:r>
            <w:r w:rsidRPr="00992E1F">
              <w:rPr>
                <w:sz w:val="16"/>
                <w:szCs w:val="16"/>
              </w:rPr>
              <w:t>the</w:t>
            </w:r>
            <w:r w:rsidRPr="00992E1F">
              <w:rPr>
                <w:color w:val="FF0000"/>
                <w:sz w:val="16"/>
                <w:szCs w:val="16"/>
              </w:rPr>
              <w:t xml:space="preserve"> </w:t>
            </w:r>
            <w:r w:rsidRPr="00992E1F">
              <w:rPr>
                <w:sz w:val="16"/>
                <w:szCs w:val="16"/>
              </w:rPr>
              <w:t>Reconceptualist Approach and engaging voices, enabling dialogue for the development of post-critical belief</w:t>
            </w:r>
          </w:p>
        </w:tc>
        <w:tc>
          <w:tcPr>
            <w:tcW w:w="1984" w:type="dxa"/>
          </w:tcPr>
          <w:p w14:paraId="52FC5E3E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Fragmented statements about </w:t>
            </w:r>
            <w:r w:rsidRPr="00992E1F">
              <w:rPr>
                <w:sz w:val="16"/>
                <w:szCs w:val="16"/>
              </w:rPr>
              <w:t xml:space="preserve">the Reconceptualist Approach </w:t>
            </w:r>
          </w:p>
        </w:tc>
      </w:tr>
      <w:tr w:rsidR="00174CE0" w:rsidRPr="004F7539" w14:paraId="084A51EA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5723824B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4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207719081"/>
                <w:placeholder>
                  <w:docPart w:val="45E151C781CC47D283DCC4B85872C124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41BB0C5D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2635293E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 xml:space="preserve">Explains the pivotal importance of effective religious education relying on the roles of the teacher to authentically engage learners </w:t>
            </w:r>
          </w:p>
        </w:tc>
        <w:tc>
          <w:tcPr>
            <w:tcW w:w="2109" w:type="dxa"/>
          </w:tcPr>
          <w:p w14:paraId="607C01F1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Effectively explains, with discernment, </w:t>
            </w:r>
            <w:r w:rsidRPr="00992E1F">
              <w:rPr>
                <w:sz w:val="16"/>
                <w:szCs w:val="16"/>
              </w:rPr>
              <w:t>the pivotal importance of effective religious education relying on the roles of the teacher to authentically engage learners</w:t>
            </w:r>
          </w:p>
        </w:tc>
        <w:tc>
          <w:tcPr>
            <w:tcW w:w="1985" w:type="dxa"/>
          </w:tcPr>
          <w:p w14:paraId="10637343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Detailed explanation </w:t>
            </w:r>
            <w:r w:rsidRPr="00992E1F">
              <w:rPr>
                <w:sz w:val="16"/>
                <w:szCs w:val="16"/>
              </w:rPr>
              <w:t>of</w:t>
            </w:r>
            <w:r w:rsidRPr="00992E1F">
              <w:rPr>
                <w:color w:val="FF0000"/>
                <w:sz w:val="16"/>
                <w:szCs w:val="16"/>
              </w:rPr>
              <w:t xml:space="preserve"> </w:t>
            </w:r>
            <w:r w:rsidRPr="00992E1F">
              <w:rPr>
                <w:sz w:val="16"/>
                <w:szCs w:val="16"/>
              </w:rPr>
              <w:t>the pivotal importance of effective religious education relying on the roles of the teacher to authentically engage learners</w:t>
            </w:r>
          </w:p>
        </w:tc>
        <w:tc>
          <w:tcPr>
            <w:tcW w:w="1843" w:type="dxa"/>
          </w:tcPr>
          <w:p w14:paraId="52499CB8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Appropriately explains </w:t>
            </w:r>
            <w:r w:rsidRPr="00992E1F">
              <w:rPr>
                <w:sz w:val="16"/>
                <w:szCs w:val="16"/>
              </w:rPr>
              <w:t>the importance of effective religious education relying on the roles of teacher to authentically engage learners</w:t>
            </w:r>
          </w:p>
        </w:tc>
        <w:tc>
          <w:tcPr>
            <w:tcW w:w="1701" w:type="dxa"/>
          </w:tcPr>
          <w:p w14:paraId="6D0E0E57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Partial explanation of some aspects </w:t>
            </w:r>
            <w:r w:rsidRPr="00992E1F">
              <w:rPr>
                <w:sz w:val="16"/>
                <w:szCs w:val="16"/>
              </w:rPr>
              <w:t>of</w:t>
            </w:r>
            <w:r w:rsidRPr="00992E1F">
              <w:rPr>
                <w:color w:val="FF0000"/>
                <w:sz w:val="16"/>
                <w:szCs w:val="16"/>
              </w:rPr>
              <w:t xml:space="preserve"> </w:t>
            </w:r>
            <w:r w:rsidRPr="00992E1F">
              <w:rPr>
                <w:sz w:val="16"/>
                <w:szCs w:val="16"/>
              </w:rPr>
              <w:t>religious education relying on the roles of the teacher to engage learners</w:t>
            </w:r>
          </w:p>
        </w:tc>
        <w:tc>
          <w:tcPr>
            <w:tcW w:w="1984" w:type="dxa"/>
          </w:tcPr>
          <w:p w14:paraId="4F491518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Fragmented statements about </w:t>
            </w:r>
            <w:r w:rsidRPr="00992E1F">
              <w:rPr>
                <w:sz w:val="16"/>
                <w:szCs w:val="16"/>
              </w:rPr>
              <w:t>religious education relying on the roles of the teacher to engage learners</w:t>
            </w:r>
          </w:p>
        </w:tc>
      </w:tr>
      <w:tr w:rsidR="00174CE0" w:rsidRPr="004F7539" w14:paraId="1770C5A6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3FD63309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5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853958753"/>
                <w:placeholder>
                  <w:docPart w:val="366FDF58AFBA43E688D5AD2FADEB8CFE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410C1BDD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5C5B41ED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 xml:space="preserve">Evaluates the significance of effectively implementing the Reconceptualist Approach, providing justification for the argument </w:t>
            </w:r>
          </w:p>
        </w:tc>
        <w:tc>
          <w:tcPr>
            <w:tcW w:w="2109" w:type="dxa"/>
          </w:tcPr>
          <w:p w14:paraId="33FD0C05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Comprehensive and discerning evaluation of </w:t>
            </w:r>
            <w:r w:rsidRPr="00992E1F">
              <w:rPr>
                <w:sz w:val="16"/>
                <w:szCs w:val="16"/>
              </w:rPr>
              <w:t xml:space="preserve">the significance of effective implementation of the Reconceptualist approach, providing </w:t>
            </w:r>
            <w:r w:rsidRPr="00992E1F">
              <w:rPr>
                <w:color w:val="FF0000"/>
                <w:sz w:val="16"/>
                <w:szCs w:val="16"/>
              </w:rPr>
              <w:t xml:space="preserve">a relevant and informed justification of the argument </w:t>
            </w:r>
          </w:p>
        </w:tc>
        <w:tc>
          <w:tcPr>
            <w:tcW w:w="1985" w:type="dxa"/>
          </w:tcPr>
          <w:p w14:paraId="0DC2FD60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Accurately evaluates </w:t>
            </w:r>
            <w:r w:rsidRPr="00992E1F">
              <w:rPr>
                <w:sz w:val="16"/>
                <w:szCs w:val="16"/>
              </w:rPr>
              <w:t xml:space="preserve">the significance of effective implementation of the Reconceptualist approach, providing </w:t>
            </w:r>
            <w:r w:rsidRPr="00992E1F">
              <w:rPr>
                <w:color w:val="FF0000"/>
                <w:sz w:val="16"/>
                <w:szCs w:val="16"/>
              </w:rPr>
              <w:t xml:space="preserve">an informed justification of the argument </w:t>
            </w:r>
          </w:p>
        </w:tc>
        <w:tc>
          <w:tcPr>
            <w:tcW w:w="1843" w:type="dxa"/>
          </w:tcPr>
          <w:p w14:paraId="0C7F1263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Adequately evaluates</w:t>
            </w:r>
            <w:r w:rsidRPr="00992E1F">
              <w:rPr>
                <w:sz w:val="16"/>
                <w:szCs w:val="16"/>
              </w:rPr>
              <w:t xml:space="preserve"> the significance of effective implementation of the Reconceptualist approach, providing </w:t>
            </w:r>
            <w:r w:rsidRPr="00992E1F">
              <w:rPr>
                <w:color w:val="FF0000"/>
                <w:sz w:val="16"/>
                <w:szCs w:val="16"/>
              </w:rPr>
              <w:t>appropriate justification of the argument</w:t>
            </w:r>
          </w:p>
        </w:tc>
        <w:tc>
          <w:tcPr>
            <w:tcW w:w="1701" w:type="dxa"/>
          </w:tcPr>
          <w:p w14:paraId="01F11086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Partial explanation of some aspects of</w:t>
            </w:r>
            <w:r w:rsidRPr="00992E1F">
              <w:rPr>
                <w:sz w:val="16"/>
                <w:szCs w:val="16"/>
              </w:rPr>
              <w:t xml:space="preserve"> the significance of the effective implementation of the Reconceptualist approach </w:t>
            </w:r>
            <w:r w:rsidRPr="00992E1F">
              <w:rPr>
                <w:color w:val="FF0000"/>
                <w:sz w:val="16"/>
                <w:szCs w:val="16"/>
              </w:rPr>
              <w:t>with minimal justification of the argument</w:t>
            </w:r>
          </w:p>
        </w:tc>
        <w:tc>
          <w:tcPr>
            <w:tcW w:w="1984" w:type="dxa"/>
          </w:tcPr>
          <w:p w14:paraId="18138CC5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>Fragmented statements about</w:t>
            </w:r>
            <w:r w:rsidRPr="00992E1F">
              <w:rPr>
                <w:sz w:val="16"/>
                <w:szCs w:val="16"/>
              </w:rPr>
              <w:t xml:space="preserve"> the significance of effective implementation of the Reconceptualist approach </w:t>
            </w:r>
          </w:p>
        </w:tc>
      </w:tr>
      <w:tr w:rsidR="00174CE0" w:rsidRPr="004F7539" w14:paraId="74894DDB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0895C3E8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6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199316305"/>
                <w:placeholder>
                  <w:docPart w:val="9E830D7ECA4447C6A21AE6AD57C5976A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1639A6A9" w14:textId="77777777" w:rsidTr="00131F22">
        <w:trPr>
          <w:trHeight w:val="227"/>
        </w:trPr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527CBBB3" w14:textId="77777777" w:rsidR="00174CE0" w:rsidRPr="00073BE8" w:rsidRDefault="00174CE0" w:rsidP="00131F22">
            <w:pPr>
              <w:spacing w:after="200"/>
              <w:jc w:val="center"/>
              <w:rPr>
                <w:rFonts w:eastAsia="Cambria"/>
                <w:b/>
                <w:bCs/>
              </w:rPr>
            </w:pPr>
            <w:r>
              <w:rPr>
                <w:rFonts w:eastAsia="Cambria"/>
                <w:b/>
                <w:bCs/>
              </w:rPr>
              <w:t>Communication and Research</w:t>
            </w:r>
          </w:p>
        </w:tc>
      </w:tr>
      <w:tr w:rsidR="00174CE0" w:rsidRPr="004F7539" w14:paraId="2D0735D8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3CBB52B3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Provides explicit references to the Religious Education P-12 Curriculum, Church Documents and writings of religious-educational theorists/academics to support argument</w:t>
            </w:r>
          </w:p>
        </w:tc>
        <w:tc>
          <w:tcPr>
            <w:tcW w:w="2109" w:type="dxa"/>
          </w:tcPr>
          <w:p w14:paraId="7960646E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Consistently and fluently integrates </w:t>
            </w:r>
            <w:r w:rsidRPr="00992E1F">
              <w:rPr>
                <w:sz w:val="16"/>
                <w:szCs w:val="16"/>
              </w:rPr>
              <w:t>well-chosen explicit references to the Religious Education Curriculum, Archdiocese of Brisbane, Church Documents and religious educational theorists and academics to support argument throughout</w:t>
            </w:r>
          </w:p>
        </w:tc>
        <w:tc>
          <w:tcPr>
            <w:tcW w:w="1985" w:type="dxa"/>
          </w:tcPr>
          <w:p w14:paraId="01F9D423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Integrates appropriate and </w:t>
            </w:r>
            <w:r w:rsidRPr="00992E1F">
              <w:rPr>
                <w:sz w:val="16"/>
                <w:szCs w:val="16"/>
              </w:rPr>
              <w:t>explicit references to the Religious Education Curriculum, Archdiocese of Brisbane, Church Documents and religious educational theorists and academics to support argument throughout</w:t>
            </w:r>
          </w:p>
        </w:tc>
        <w:tc>
          <w:tcPr>
            <w:tcW w:w="1843" w:type="dxa"/>
          </w:tcPr>
          <w:p w14:paraId="684C0613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Integrates</w:t>
            </w:r>
            <w:r w:rsidRPr="00992E1F">
              <w:rPr>
                <w:sz w:val="16"/>
                <w:szCs w:val="16"/>
              </w:rPr>
              <w:t xml:space="preserve"> references to the Religious Education Curriculum, Archdiocese of Brisbane, Church Documents and religious educational theorists and academics to support argument throughout</w:t>
            </w:r>
          </w:p>
        </w:tc>
        <w:tc>
          <w:tcPr>
            <w:tcW w:w="1701" w:type="dxa"/>
          </w:tcPr>
          <w:p w14:paraId="4791EC0F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Partially integrates</w:t>
            </w:r>
            <w:r w:rsidRPr="00992E1F">
              <w:rPr>
                <w:sz w:val="16"/>
                <w:szCs w:val="16"/>
              </w:rPr>
              <w:t xml:space="preserve"> some references to the Religious Education Curriculum, Archdiocese of Brisbane, Church Documents and religious educational theorists and academics to support argument throughout</w:t>
            </w:r>
          </w:p>
        </w:tc>
        <w:tc>
          <w:tcPr>
            <w:tcW w:w="1984" w:type="dxa"/>
          </w:tcPr>
          <w:p w14:paraId="4419CE2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>Fragmented</w:t>
            </w:r>
            <w:r w:rsidRPr="00992E1F">
              <w:rPr>
                <w:sz w:val="16"/>
                <w:szCs w:val="16"/>
              </w:rPr>
              <w:t xml:space="preserve"> and </w:t>
            </w:r>
            <w:r w:rsidRPr="00992E1F">
              <w:rPr>
                <w:color w:val="FF0000"/>
                <w:sz w:val="16"/>
                <w:szCs w:val="16"/>
              </w:rPr>
              <w:t xml:space="preserve">limited </w:t>
            </w:r>
            <w:r w:rsidRPr="00992E1F">
              <w:rPr>
                <w:sz w:val="16"/>
                <w:szCs w:val="16"/>
              </w:rPr>
              <w:t>references to the Religious Education Curriculum, Archdiocese of Brisbane, Church Documents and religious educational theorists and academics to support argument throughout</w:t>
            </w:r>
          </w:p>
        </w:tc>
      </w:tr>
      <w:tr w:rsidR="00174CE0" w:rsidRPr="004F7539" w14:paraId="63FC72C8" w14:textId="77777777" w:rsidTr="00131F22"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08A95A5E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7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1446657134"/>
                <w:placeholder>
                  <w:docPart w:val="8FE8DE1FA87C4CD2AFAE0B6DE801EAC0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4E92FC9B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66CC4A0E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lastRenderedPageBreak/>
              <w:t>Appropriate Communication for Academic Writing</w:t>
            </w:r>
          </w:p>
        </w:tc>
        <w:tc>
          <w:tcPr>
            <w:tcW w:w="2109" w:type="dxa"/>
          </w:tcPr>
          <w:p w14:paraId="4641EE67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strike/>
                <w:color w:val="FF0000"/>
                <w:sz w:val="16"/>
                <w:szCs w:val="16"/>
              </w:rPr>
              <w:t>E</w:t>
            </w:r>
            <w:r w:rsidRPr="00992E1F">
              <w:rPr>
                <w:color w:val="FF0000"/>
                <w:sz w:val="16"/>
                <w:szCs w:val="16"/>
              </w:rPr>
              <w:t xml:space="preserve">ffective and accurate use of </w:t>
            </w:r>
            <w:r w:rsidRPr="00992E1F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1985" w:type="dxa"/>
          </w:tcPr>
          <w:p w14:paraId="6A63ADC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Consistent use of </w:t>
            </w:r>
            <w:r w:rsidRPr="00992E1F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1843" w:type="dxa"/>
          </w:tcPr>
          <w:p w14:paraId="0D0F56C9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Adequate use of </w:t>
            </w:r>
            <w:r w:rsidRPr="00992E1F">
              <w:rPr>
                <w:sz w:val="16"/>
                <w:szCs w:val="16"/>
              </w:rPr>
              <w:t>appropriate formatting, grammar and spelling that reflects the nature of academic writing, but is not always consistent</w:t>
            </w:r>
          </w:p>
        </w:tc>
        <w:tc>
          <w:tcPr>
            <w:tcW w:w="1701" w:type="dxa"/>
          </w:tcPr>
          <w:p w14:paraId="2081112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Partial use of </w:t>
            </w:r>
            <w:r w:rsidRPr="00992E1F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1984" w:type="dxa"/>
          </w:tcPr>
          <w:p w14:paraId="127C88A6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>Inaccurate and fragmented use</w:t>
            </w:r>
            <w:r w:rsidRPr="00992E1F">
              <w:rPr>
                <w:sz w:val="16"/>
                <w:szCs w:val="16"/>
              </w:rPr>
              <w:t xml:space="preserve"> of appropriate formatting, grammar and spelling that reflects the nature of academic writing</w:t>
            </w:r>
          </w:p>
        </w:tc>
      </w:tr>
      <w:tr w:rsidR="00174CE0" w:rsidRPr="004F7539" w14:paraId="0A5D71B5" w14:textId="77777777" w:rsidTr="00131F22">
        <w:trPr>
          <w:trHeight w:val="290"/>
        </w:trPr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77F197E7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8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679397157"/>
                <w:placeholder>
                  <w:docPart w:val="07E269B31D344D18BAD32C78F3286266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41E03AF0" w14:textId="77777777" w:rsidTr="00131F22">
        <w:tc>
          <w:tcPr>
            <w:tcW w:w="1860" w:type="dxa"/>
            <w:shd w:val="clear" w:color="auto" w:fill="D9D9D9" w:themeFill="background1" w:themeFillShade="D9"/>
            <w:vAlign w:val="center"/>
          </w:tcPr>
          <w:p w14:paraId="3DDFD8BD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  <w:r w:rsidRPr="006927B9">
              <w:rPr>
                <w:b/>
                <w:sz w:val="16"/>
                <w:szCs w:val="16"/>
              </w:rPr>
              <w:t>Adherence to APA Referencing for ACU</w:t>
            </w:r>
          </w:p>
          <w:p w14:paraId="4F8A960A" w14:textId="77777777" w:rsidR="00174CE0" w:rsidRPr="006927B9" w:rsidRDefault="00174CE0" w:rsidP="00131F22">
            <w:pPr>
              <w:spacing w:before="80" w:after="80"/>
              <w:rPr>
                <w:b/>
                <w:sz w:val="16"/>
                <w:szCs w:val="16"/>
              </w:rPr>
            </w:pPr>
          </w:p>
        </w:tc>
        <w:tc>
          <w:tcPr>
            <w:tcW w:w="2109" w:type="dxa"/>
          </w:tcPr>
          <w:p w14:paraId="12AACD23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>Consistently and appropriately</w:t>
            </w:r>
            <w:r w:rsidRPr="00992E1F">
              <w:rPr>
                <w:sz w:val="16"/>
                <w:szCs w:val="16"/>
              </w:rPr>
              <w:t xml:space="preserve"> adheres to APA referencing Style guide of ACU</w:t>
            </w:r>
          </w:p>
        </w:tc>
        <w:tc>
          <w:tcPr>
            <w:tcW w:w="1985" w:type="dxa"/>
          </w:tcPr>
          <w:p w14:paraId="3D8C607A" w14:textId="77777777" w:rsidR="00174CE0" w:rsidRPr="00992E1F" w:rsidRDefault="00174CE0" w:rsidP="00131F22">
            <w:pPr>
              <w:spacing w:before="80" w:after="80"/>
              <w:rPr>
                <w:color w:val="FF0000"/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Appropriately adheres </w:t>
            </w:r>
            <w:r w:rsidRPr="00992E1F">
              <w:rPr>
                <w:sz w:val="16"/>
                <w:szCs w:val="16"/>
              </w:rPr>
              <w:t xml:space="preserve">to APA referencing Style guide of ACU </w:t>
            </w:r>
          </w:p>
        </w:tc>
        <w:tc>
          <w:tcPr>
            <w:tcW w:w="1843" w:type="dxa"/>
          </w:tcPr>
          <w:p w14:paraId="4D5DFAF7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>Adheres</w:t>
            </w:r>
            <w:r w:rsidRPr="00992E1F">
              <w:rPr>
                <w:sz w:val="16"/>
                <w:szCs w:val="16"/>
              </w:rPr>
              <w:t xml:space="preserve"> to APA referencing Style guide of ACU </w:t>
            </w:r>
          </w:p>
        </w:tc>
        <w:tc>
          <w:tcPr>
            <w:tcW w:w="1701" w:type="dxa"/>
          </w:tcPr>
          <w:p w14:paraId="2971BCFC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Partial and inconsistent adherence to </w:t>
            </w:r>
            <w:r w:rsidRPr="00992E1F">
              <w:rPr>
                <w:sz w:val="16"/>
                <w:szCs w:val="16"/>
              </w:rPr>
              <w:t>APA referencing Style guide.</w:t>
            </w:r>
          </w:p>
        </w:tc>
        <w:tc>
          <w:tcPr>
            <w:tcW w:w="1984" w:type="dxa"/>
          </w:tcPr>
          <w:p w14:paraId="0B6BCE91" w14:textId="77777777" w:rsidR="00174CE0" w:rsidRPr="00992E1F" w:rsidRDefault="00174CE0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0992E1F">
              <w:rPr>
                <w:color w:val="FF0000"/>
                <w:sz w:val="16"/>
                <w:szCs w:val="16"/>
              </w:rPr>
              <w:t xml:space="preserve">Fragmented use of </w:t>
            </w:r>
            <w:r w:rsidRPr="00992E1F">
              <w:rPr>
                <w:sz w:val="16"/>
                <w:szCs w:val="16"/>
              </w:rPr>
              <w:t>referencing or lists of evidence</w:t>
            </w:r>
          </w:p>
        </w:tc>
      </w:tr>
      <w:tr w:rsidR="00174CE0" w:rsidRPr="004F7539" w14:paraId="417EF9F2" w14:textId="77777777" w:rsidTr="00131F22">
        <w:trPr>
          <w:trHeight w:val="416"/>
        </w:trPr>
        <w:tc>
          <w:tcPr>
            <w:tcW w:w="11482" w:type="dxa"/>
            <w:gridSpan w:val="6"/>
            <w:shd w:val="clear" w:color="auto" w:fill="D9D9D9" w:themeFill="background1" w:themeFillShade="D9"/>
            <w:vAlign w:val="center"/>
          </w:tcPr>
          <w:p w14:paraId="5241CDBF" w14:textId="77777777" w:rsidR="00174CE0" w:rsidRPr="009F6F28" w:rsidRDefault="00174CE0" w:rsidP="00131F22">
            <w:pPr>
              <w:spacing w:after="200"/>
              <w:rPr>
                <w:rFonts w:eastAsia="Cambria"/>
                <w:b/>
                <w:color w:val="0070C0"/>
                <w:sz w:val="16"/>
                <w:szCs w:val="16"/>
              </w:rPr>
            </w:pPr>
            <w:r w:rsidRPr="00BE6882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9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265147700"/>
                <w:placeholder>
                  <w:docPart w:val="E1CE6FC59C5D4406AEA6E039B4EDB67F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74CE0" w:rsidRPr="004F7539" w14:paraId="7C678B9D" w14:textId="77777777" w:rsidTr="00131F22">
        <w:trPr>
          <w:trHeight w:val="416"/>
        </w:trPr>
        <w:tc>
          <w:tcPr>
            <w:tcW w:w="11482" w:type="dxa"/>
            <w:gridSpan w:val="6"/>
            <w:vAlign w:val="center"/>
          </w:tcPr>
          <w:p w14:paraId="3F477F6C" w14:textId="77777777" w:rsidR="00174CE0" w:rsidRPr="00C1141A" w:rsidRDefault="00174CE0" w:rsidP="00131F22">
            <w:pPr>
              <w:spacing w:after="200"/>
              <w:jc w:val="both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sz w:val="24"/>
                <w:szCs w:val="24"/>
              </w:rPr>
              <w:t xml:space="preserve">Overall Result:  </w:t>
            </w:r>
            <w:sdt>
              <w:sdtPr>
                <w:rPr>
                  <w:rFonts w:eastAsia="Cambria"/>
                  <w:sz w:val="24"/>
                  <w:szCs w:val="24"/>
                </w:rPr>
                <w:id w:val="1720317034"/>
                <w:placeholder>
                  <w:docPart w:val="84C1E58FDC3E46B08BD96CAF2383AF52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02810F7">
                  <w:rPr>
                    <w:rStyle w:val="PlaceholderText"/>
                  </w:rPr>
                  <w:t>Choose an item.</w:t>
                </w:r>
              </w:sdtContent>
            </w:sdt>
          </w:p>
          <w:p w14:paraId="34F02927" w14:textId="77777777" w:rsidR="00174CE0" w:rsidRPr="00BE6882" w:rsidRDefault="00174CE0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</w:p>
        </w:tc>
      </w:tr>
    </w:tbl>
    <w:p w14:paraId="60DF5493" w14:textId="77777777" w:rsidR="001F7815" w:rsidRDefault="001F7815"/>
    <w:sectPr w:rsidR="001F78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E0"/>
    <w:rsid w:val="00174CE0"/>
    <w:rsid w:val="001F7815"/>
    <w:rsid w:val="004C5C6D"/>
    <w:rsid w:val="004C633D"/>
    <w:rsid w:val="006B794A"/>
    <w:rsid w:val="00822F49"/>
    <w:rsid w:val="008C0BE3"/>
    <w:rsid w:val="00E8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EC159"/>
  <w15:chartTrackingRefBased/>
  <w15:docId w15:val="{13F9B61C-9F66-4A96-8283-BD7AD1B7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E0"/>
    <w:pPr>
      <w:spacing w:before="60" w:after="120" w:line="240" w:lineRule="exact"/>
    </w:pPr>
    <w:rPr>
      <w:rFonts w:ascii="Tahoma" w:hAnsi="Tahoma" w:cs="Tahom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C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C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C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C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C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CE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CE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CE0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CE0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CE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CE0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4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CE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4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CE0"/>
    <w:pPr>
      <w:spacing w:before="0"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4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CE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174CE0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4CE0"/>
    <w:rPr>
      <w:color w:val="808080"/>
    </w:rPr>
  </w:style>
  <w:style w:type="character" w:customStyle="1" w:styleId="Style1">
    <w:name w:val="Style1"/>
    <w:basedOn w:val="DefaultParagraphFont"/>
    <w:uiPriority w:val="1"/>
    <w:rsid w:val="00174CE0"/>
  </w:style>
  <w:style w:type="table" w:styleId="TableGrid">
    <w:name w:val="Table Grid"/>
    <w:basedOn w:val="TableNormal"/>
    <w:uiPriority w:val="39"/>
    <w:rsid w:val="0017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94FE522C434DF7A01B0A94AF870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3A539-323F-4A45-806E-39AFF1BD7A18}"/>
      </w:docPartPr>
      <w:docPartBody>
        <w:p w:rsidR="00EC2567" w:rsidRDefault="003011BC" w:rsidP="003011BC">
          <w:pPr>
            <w:pStyle w:val="8D94FE522C434DF7A01B0A94AF8706E0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2D13856EBFC642A784C45E3A26620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60BBC-1383-4A35-82ED-BBE2BA40C19D}"/>
      </w:docPartPr>
      <w:docPartBody>
        <w:p w:rsidR="00EC2567" w:rsidRDefault="003011BC" w:rsidP="003011BC">
          <w:pPr>
            <w:pStyle w:val="2D13856EBFC642A784C45E3A26620F85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844AF6D271E842EA838C8C2ADB9D0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72610-A18E-4DEB-B125-711B8C1ADC37}"/>
      </w:docPartPr>
      <w:docPartBody>
        <w:p w:rsidR="00EC2567" w:rsidRDefault="003011BC" w:rsidP="003011BC">
          <w:pPr>
            <w:pStyle w:val="844AF6D271E842EA838C8C2ADB9D0CC1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45E151C781CC47D283DCC4B85872C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E6C2-5600-44D9-9B84-407701523C95}"/>
      </w:docPartPr>
      <w:docPartBody>
        <w:p w:rsidR="00EC2567" w:rsidRDefault="003011BC" w:rsidP="003011BC">
          <w:pPr>
            <w:pStyle w:val="45E151C781CC47D283DCC4B85872C124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366FDF58AFBA43E688D5AD2FADEB8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318D9-6468-460F-BB52-6FE5A8ED11C8}"/>
      </w:docPartPr>
      <w:docPartBody>
        <w:p w:rsidR="00EC2567" w:rsidRDefault="003011BC" w:rsidP="003011BC">
          <w:pPr>
            <w:pStyle w:val="366FDF58AFBA43E688D5AD2FADEB8CFE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9E830D7ECA4447C6A21AE6AD57C59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58797-1924-4006-B78B-E31270239EB0}"/>
      </w:docPartPr>
      <w:docPartBody>
        <w:p w:rsidR="00EC2567" w:rsidRDefault="003011BC" w:rsidP="003011BC">
          <w:pPr>
            <w:pStyle w:val="9E830D7ECA4447C6A21AE6AD57C5976A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8FE8DE1FA87C4CD2AFAE0B6DE801E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5012B-4814-4561-9CF2-7E2A14CAA67B}"/>
      </w:docPartPr>
      <w:docPartBody>
        <w:p w:rsidR="00EC2567" w:rsidRDefault="003011BC" w:rsidP="003011BC">
          <w:pPr>
            <w:pStyle w:val="8FE8DE1FA87C4CD2AFAE0B6DE801EAC0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07E269B31D344D18BAD32C78F3286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FD776-7919-43C4-B246-27134F210872}"/>
      </w:docPartPr>
      <w:docPartBody>
        <w:p w:rsidR="00EC2567" w:rsidRDefault="003011BC" w:rsidP="003011BC">
          <w:pPr>
            <w:pStyle w:val="07E269B31D344D18BAD32C78F3286266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E1CE6FC59C5D4406AEA6E039B4EDB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5433F-1F4A-48A0-A9C3-532E41ADA661}"/>
      </w:docPartPr>
      <w:docPartBody>
        <w:p w:rsidR="00EC2567" w:rsidRDefault="003011BC" w:rsidP="003011BC">
          <w:pPr>
            <w:pStyle w:val="E1CE6FC59C5D4406AEA6E039B4EDB67F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84C1E58FDC3E46B08BD96CAF2383A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5800A-F468-4878-B68C-43065293632E}"/>
      </w:docPartPr>
      <w:docPartBody>
        <w:p w:rsidR="00EC2567" w:rsidRDefault="003011BC" w:rsidP="003011BC">
          <w:pPr>
            <w:pStyle w:val="84C1E58FDC3E46B08BD96CAF2383AF52"/>
          </w:pPr>
          <w:r w:rsidRPr="002810F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BC"/>
    <w:rsid w:val="000874D7"/>
    <w:rsid w:val="003011BC"/>
    <w:rsid w:val="00822F49"/>
    <w:rsid w:val="00E85C34"/>
    <w:rsid w:val="00EC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1BC"/>
    <w:rPr>
      <w:color w:val="808080"/>
    </w:rPr>
  </w:style>
  <w:style w:type="paragraph" w:customStyle="1" w:styleId="8D94FE522C434DF7A01B0A94AF8706E0">
    <w:name w:val="8D94FE522C434DF7A01B0A94AF8706E0"/>
    <w:rsid w:val="003011BC"/>
  </w:style>
  <w:style w:type="paragraph" w:customStyle="1" w:styleId="2D13856EBFC642A784C45E3A26620F85">
    <w:name w:val="2D13856EBFC642A784C45E3A26620F85"/>
    <w:rsid w:val="003011BC"/>
  </w:style>
  <w:style w:type="paragraph" w:customStyle="1" w:styleId="844AF6D271E842EA838C8C2ADB9D0CC1">
    <w:name w:val="844AF6D271E842EA838C8C2ADB9D0CC1"/>
    <w:rsid w:val="003011BC"/>
  </w:style>
  <w:style w:type="paragraph" w:customStyle="1" w:styleId="45E151C781CC47D283DCC4B85872C124">
    <w:name w:val="45E151C781CC47D283DCC4B85872C124"/>
    <w:rsid w:val="003011BC"/>
  </w:style>
  <w:style w:type="paragraph" w:customStyle="1" w:styleId="366FDF58AFBA43E688D5AD2FADEB8CFE">
    <w:name w:val="366FDF58AFBA43E688D5AD2FADEB8CFE"/>
    <w:rsid w:val="003011BC"/>
  </w:style>
  <w:style w:type="paragraph" w:customStyle="1" w:styleId="9E830D7ECA4447C6A21AE6AD57C5976A">
    <w:name w:val="9E830D7ECA4447C6A21AE6AD57C5976A"/>
    <w:rsid w:val="003011BC"/>
  </w:style>
  <w:style w:type="paragraph" w:customStyle="1" w:styleId="8FE8DE1FA87C4CD2AFAE0B6DE801EAC0">
    <w:name w:val="8FE8DE1FA87C4CD2AFAE0B6DE801EAC0"/>
    <w:rsid w:val="003011BC"/>
  </w:style>
  <w:style w:type="paragraph" w:customStyle="1" w:styleId="07E269B31D344D18BAD32C78F3286266">
    <w:name w:val="07E269B31D344D18BAD32C78F3286266"/>
    <w:rsid w:val="003011BC"/>
  </w:style>
  <w:style w:type="paragraph" w:customStyle="1" w:styleId="E1CE6FC59C5D4406AEA6E039B4EDB67F">
    <w:name w:val="E1CE6FC59C5D4406AEA6E039B4EDB67F"/>
    <w:rsid w:val="003011BC"/>
  </w:style>
  <w:style w:type="paragraph" w:customStyle="1" w:styleId="84C1E58FDC3E46B08BD96CAF2383AF52">
    <w:name w:val="84C1E58FDC3E46B08BD96CAF2383AF52"/>
    <w:rsid w:val="00301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3F11C7-2FA9-4BEF-B81C-52D4EB9AD081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2.xml><?xml version="1.0" encoding="utf-8"?>
<ds:datastoreItem xmlns:ds="http://schemas.openxmlformats.org/officeDocument/2006/customXml" ds:itemID="{ECB06A8C-88F0-4B9C-AA43-B71F571C4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49A70-A878-4117-BEF1-42B7E1D2C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1362</Words>
  <Characters>7765</Characters>
  <Application>Microsoft Office Word</Application>
  <DocSecurity>2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2</cp:revision>
  <dcterms:created xsi:type="dcterms:W3CDTF">2026-03-02T02:54:00Z</dcterms:created>
  <dcterms:modified xsi:type="dcterms:W3CDTF">2026-03-06T03:56:00Z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docLang">
    <vt:lpwstr>en</vt:lpwstr>
  </property>
</Properties>
</file>